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МКУ «Управление образования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Чернянского района»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ПРИКАЗ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«27» марта 2024 года                                                                                    № 210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О создании рабочей группы проекта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и включении образовательных учреждений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в муниципальный проект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709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 целях реализации муниципального проекта «Создание модели формирования основ ранней профориентации у детей дошкольного возраста в дошкольных образовательных организациях Чернянского района» («Первые шаги в мир профессий») № 10095989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0"/>
        <w:jc w:val="both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0"/>
        <w:jc w:val="both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0"/>
        <w:jc w:val="both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приказываю: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ind w:firstLine="0"/>
        <w:jc w:val="both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46"/>
        <w:numPr>
          <w:ilvl w:val="0"/>
          <w:numId w:val="1"/>
        </w:numPr>
        <w:contextualSpacing/>
        <w:jc w:val="both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Назначить инициатором проекта Капнину А.И., заместителя начальника отдела дошкольного и общего образования МКУ «Управление образования Чернянского района» Белгородской области.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46"/>
        <w:numPr>
          <w:ilvl w:val="0"/>
          <w:numId w:val="1"/>
        </w:numPr>
        <w:contextualSpacing/>
        <w:jc w:val="both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Утвердить рабочую группу проекта и роли, выполняемые членами рабочей группы в реализации проекта (приложение 1).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46"/>
        <w:numPr>
          <w:ilvl w:val="0"/>
          <w:numId w:val="1"/>
        </w:numPr>
        <w:contextualSpacing/>
        <w:jc w:val="both"/>
        <w:spacing w:line="283" w:lineRule="atLeast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Включить в реализацию проекта образовательные учреждения района, реализующие образовательные программы дошкольного образования (приложение 2).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tbl>
      <w:tblPr>
        <w:tblpPr w:horzAnchor="page" w:tblpX="1234" w:vertAnchor="page" w:tblpY="12907" w:leftFromText="180" w:topFromText="0" w:rightFromText="180" w:bottomFromText="0"/>
        <w:tblW w:w="10229" w:type="dxa"/>
        <w:tblLayout w:type="fixed"/>
        <w:tblLook w:val="04A0" w:firstRow="1" w:lastRow="0" w:firstColumn="1" w:lastColumn="0" w:noHBand="0" w:noVBand="1"/>
      </w:tblPr>
      <w:tblGrid>
        <w:gridCol w:w="4820"/>
        <w:gridCol w:w="2884"/>
        <w:gridCol w:w="2525"/>
      </w:tblGrid>
      <w:tr>
        <w:tblPrEx/>
        <w:trPr>
          <w:trHeight w:val="1577"/>
        </w:trPr>
        <w:tc>
          <w:tcPr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             Заместитель н</w:t>
            </w: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ачальник</w:t>
            </w: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 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      МКУ «Управление образования </w:t>
            </w: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           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Чернянского района 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</w:tc>
        <w:tc>
          <w:tcPr>
            <w:tcW w:w="2884" w:type="dxa"/>
            <w:textDirection w:val="lrTb"/>
            <w:noWrap w:val="false"/>
          </w:tcPr>
          <w:p>
            <w:pPr>
              <w:contextualSpacing/>
              <w:spacing w:line="283" w:lineRule="atLeast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contextualSpacing/>
              <w:spacing w:line="283" w:lineRule="atLeast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82995" cy="361950"/>
                      <wp:effectExtent l="6350" t="6350" r="6350" b="6350"/>
                      <wp:docPr id="1" name="Рисунок 6" descr="C:\Users\Redchenko_Svetlana\Pictures\Мои сканированные изображения\сканирование013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9646435" name="Рисунок 6" descr="C:\Users\Redchenko_Svetlana\Pictures\Мои сканированные изображения\сканирование0134.jpg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82995" cy="361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1.02pt;height:28.5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contextualSpacing/>
              <w:jc w:val="right"/>
              <w:spacing w:line="283" w:lineRule="atLeast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  <w:p>
            <w:pPr>
              <w:contextualSpacing/>
              <w:spacing w:line="283" w:lineRule="atLeast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  <w:t xml:space="preserve">Блажко И.М. 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</w:tc>
      </w:tr>
    </w:tbl>
    <w:p>
      <w:pPr>
        <w:pStyle w:val="846"/>
        <w:numPr>
          <w:ilvl w:val="0"/>
          <w:numId w:val="1"/>
        </w:numPr>
        <w:contextualSpacing/>
        <w:jc w:val="both"/>
        <w:spacing w:line="283" w:lineRule="atLeast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Контроль за исполнением приказа возложить на заместителя начальника МКУ «Управление образования Чернянского района» Блажко И.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contextualSpacing/>
        <w:ind w:left="709" w:firstLine="0"/>
        <w:jc w:val="both"/>
        <w:spacing w:line="283" w:lineRule="atLeast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left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jc w:val="righ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</w:rPr>
        <w:t xml:space="preserve">Приложение 1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contextualSpacing/>
        <w:jc w:val="righ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к приказу МКУ «Управление образования 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contextualSpacing/>
        <w:jc w:val="right"/>
        <w:rPr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Чернянского района» № 210 от 27.03.2024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jc w:val="right"/>
        <w:rPr>
          <w:rFonts w:ascii="Tinos" w:hAnsi="Tinos" w:eastAsia="Tinos" w:cs="Tinos"/>
          <w:b/>
          <w:bCs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</w:rPr>
      </w:r>
    </w:p>
    <w:p>
      <w:pPr>
        <w:contextualSpacing/>
        <w:jc w:val="center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</w:rPr>
        <w:t xml:space="preserve">Состав рабочей группы проекта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contextualSpacing/>
        <w:jc w:val="center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tbl>
      <w:tblPr>
        <w:tblStyle w:val="698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607"/>
        <w:gridCol w:w="2622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  <w:t xml:space="preserve">п/п</w:t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  <w:t xml:space="preserve">ФИО члена рабочей группы проекта</w:t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  <w:t xml:space="preserve">Должность</w:t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  <w:t xml:space="preserve">Роль в реализации проекта</w:t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Блажко Ирина 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Михайловна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Заместитель начальника МКУ «Управление образования Чернянского района»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Ответственный за блок работ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Капнина Анна 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Ильинична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Заместитель начальника отдела дошкольного и общего образования МКУ   «Управление образования Чернянского района»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Администратор проекта, 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Курдыман Наталья Владимировна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(по согласованию)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Старший методист Чернянского межмуниципального центра ОГБОУ ДПО «БелИРО» 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Широкопетлева Светлана Викторовна 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(по согласованию)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Старшая медицинская сестра ОГБУЗ «Чернянская ЦРБ» имени П.В.Гапотченко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Петренко Наталья Николаевна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Заведующий МБДОУ «Детский сад «Колокольчик» комбинированного вида п.Чернянка Белгородской области»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Алхасова Елена Андреевна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Заведующий МАДОУ «Центр развития ребёнка – детский сад «Солнышко» п.Чернянка Белгородской области»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Свиридова Наталья Андреевна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Заведующий МБДОУ «Центр развития ребёнка – детский сад «Кристаллик» п.Чернянка Белгородской области»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Притулина Ольга Николаевна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Заведующий МБДОУ «Детский сад «Сказка» общеразвивающего вида с.Ездочное Чернянского района Белгородской области»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Терновская Анна Павловна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Заведующий МБДОУ «Детский сад «Берёзка» общеразвивающего вида с.Русская Халань Чернянского района Белгородской области»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Кайдалова Марина Николаевна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Заведующий МБДОУ «Детский сад «Одуванчик» с.Захарово Чернянского района Белгородской области»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spacing w:line="283" w:lineRule="atLeas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Лазаренко Наталья Валентиновна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Старший воспитатель ОГБОУ «Чернянская СОШ № 4» Белгородской области Структурное подразделение: Детский сад «Алёнушка»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12.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Сорокина Мария Александровна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Воспитатель МБОУ «ООШ с.Новоречье Чернянского района Белгородской области» структурное подразделение детский сад «Облачко»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  <w:t xml:space="preserve">Член рабочей группы проекта, ответственный за работы и процессы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</w:tc>
      </w:tr>
    </w:tbl>
    <w:p>
      <w:pPr>
        <w:jc w:val="left"/>
        <w:rPr>
          <w:rFonts w:ascii="Tinos" w:hAnsi="Tinos" w:eastAsia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contextualSpacing/>
        <w:jc w:val="righ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</w:rPr>
        <w:t xml:space="preserve">Приложение 2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contextualSpacing/>
        <w:jc w:val="righ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к приказу МКУ «Управление образования 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contextualSpacing/>
        <w:jc w:val="right"/>
        <w:rPr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Чернянского района» № 210 от 27.03.2024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rPr>
          <w:rFonts w:ascii="Tinos" w:hAnsi="Tinos" w:eastAsia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contextualSpacing/>
        <w:jc w:val="center"/>
        <w:spacing w:line="283" w:lineRule="atLeas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Список образовательных учреждений,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contextualSpacing/>
        <w:jc w:val="center"/>
        <w:spacing w:line="283" w:lineRule="atLeas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участвующих в реализации муниципального проекта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contextualSpacing/>
        <w:jc w:val="center"/>
        <w:spacing w:line="283" w:lineRule="atLeast"/>
        <w:rPr>
          <w:rFonts w:ascii="Tinos" w:hAnsi="Tinos" w:eastAsia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</w:rPr>
      </w:r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811"/>
        <w:gridCol w:w="2544"/>
        <w:gridCol w:w="2292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 образовательного учреждения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Ответственный за реализацию проекта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Должность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МБДОУ «Детский сад «Колокольчик» комбинированного вида п.Чернянка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Петренко Наталья Николаевна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Заведующий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МАДОУ «Центр развития ребёнка – детский сад «Солнышко» п.Чернянка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Алхасова Елена Андреевна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Заведующий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МБДОУ «Центр развития ребёнка – детский сад «Кристаллик» п.Чернянка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Свиридова Наталья Андреевна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Заведующий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МБДОУ «Детский сад «Сказка» общеразвивающего вида  с.Ездочное Чернянского района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Притулина Ольга Николаевна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Заведующий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МБДОУ «Детский сад «Берёзка» общеразвивающего вида с.Русская Халань Чернянского района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Терновская Анна Павловна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Заведующий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МБДОУ «Детский сад «Одуванчик» с.Захарово Чернянского района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Кайдалова Марина Николаевна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Заведующий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ОГБОУ «Чернянская СОШ № 4» Белгородской области Структурное подразделение: Детский сад «Алёнушка»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Лазаренко Наталья Валентиновна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Старший воспитатель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38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МБОУ «ООШ с.Новоречье Чернянского района Белгородской области» структурное подразделение детский сад «Облачко»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Сорокина Мария Александровна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2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Воспитатель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nos" w:hAnsi="Tinos" w:eastAsia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2024-03-29T06:06:15Z</dcterms:modified>
</cp:coreProperties>
</file>